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Refleksja nad standardowym myśleniem o paruzji - dialog myśli autora z czytelnikiem</w:t>
      </w:r>
    </w:p>
    <w:p>
      <w:pPr>
        <w:spacing w:before="0" w:after="500" w:line="264" w:lineRule="auto"/>
      </w:pPr>
      <w:r>
        <w:rPr>
          <w:rFonts w:ascii="calibri" w:hAnsi="calibri" w:eastAsia="calibri" w:cs="calibri"/>
          <w:sz w:val="36"/>
          <w:szCs w:val="36"/>
          <w:b/>
        </w:rPr>
        <w:t xml:space="preserve">Paruzja! Czym jest? Najkrócej rzecz ujmując, to ponowne przyjście Chrystusa na świat przed Sądem Ostatecznym. Tyle i aż tyle! Józef Panter na kartach swej książki odsłania dla nas głębię „ponownego przyjścia” Syna Człowieczego.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„Projekt paruzja”</w:t>
      </w:r>
      <w:r>
        <w:rPr>
          <w:rFonts w:ascii="calibri" w:hAnsi="calibri" w:eastAsia="calibri" w:cs="calibri"/>
          <w:sz w:val="24"/>
          <w:szCs w:val="24"/>
        </w:rPr>
        <w:t xml:space="preserve"> to swego rodzaju refleksja nad standardowym myśleniem o paruzji. To dialog myśli autora z czytelnikiem wypływający z lektury Pisma Świętego i znanych już słów w nadziei na wspólne odkrywanie ich sensu. Dla ludzi nieczytających Pisma Świętego będzie to być może zachęta do poszerzonej lektury tej Księgi.</w:t>
      </w:r>
    </w:p>
    <w:p>
      <w:pPr>
        <w:spacing w:before="0" w:after="300"/>
      </w:pPr>
      <w:r>
        <w:rPr>
          <w:rFonts w:ascii="calibri" w:hAnsi="calibri" w:eastAsia="calibri" w:cs="calibri"/>
          <w:sz w:val="24"/>
          <w:szCs w:val="24"/>
        </w:rPr>
        <w:t xml:space="preserve">Dla każdego może to być spotkanie z treściami znanymi z Biblii, które w tej książce zostały opowiedziane tak, jak jeszcze nikt ich nie opowiedział.</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Józef Panter</w:t>
      </w:r>
      <w:r>
        <w:rPr>
          <w:rFonts w:ascii="calibri" w:hAnsi="calibri" w:eastAsia="calibri" w:cs="calibri"/>
          <w:sz w:val="24"/>
          <w:szCs w:val="24"/>
        </w:rPr>
        <w:t xml:space="preserve"> – urodzony w Chorzowie w 1955 roku, mieszkaniec Katowic. Studiował w Prymasowskim Wyższym Seminarium Duchownym w Gnieźnie. Jest świeckim absolwentem Wydziału Teologicznego Akademii Teologii Katolickiej w Warszawie. W 1990 roku wyjechał wraz z rodziną do Niemiec, gdzie pracował do emerytury jako opiekun osób starszych i chorych w instytucjach kościelnych, państwowych i w prywatnych służbach medycznych.</w:t>
      </w:r>
    </w:p>
    <w:p>
      <w:pPr>
        <w:spacing w:before="0" w:after="300"/>
      </w:pPr>
      <w:r>
        <w:rPr>
          <w:rFonts w:ascii="calibri" w:hAnsi="calibri" w:eastAsia="calibri" w:cs="calibri"/>
          <w:sz w:val="24"/>
          <w:szCs w:val="24"/>
        </w:rPr>
        <w:t xml:space="preserve">Od wczesnych lat młodzieńczych Tyrmand, Sandauer, poeci Młodej Polski, Białoszewski, Heidegger, Chesterton, Tomasz z Akwinu i wielu innych kształtowali spojrzenie na świat i jego życie zagadkowo prozaiczne jak „Nieczynny Słoń” w Lasku Bielańskim z lat osiemdziesiątych dwudziestego wieku. Jednak pytanie zawarte w tej książce: „Czy to możliwe, że Chrystus mógłby drugi raz przyjść na ziemię jako człowiek?” zrodziło się z lektury Księgi Apokalipsy. Czy dzieje Kościoła są niekończącą się historią i czy tajemnica paruzji Chrystusa tę historię zakończy, a może rozpocznie? Już po ponad czterdziestu latach medytacji nad Pismem Świętym autor znalazł dla siebie odpowiedzi na te pytania.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2025-11-13T14:35:39+01:00</dcterms:created>
  <dcterms:modified xsi:type="dcterms:W3CDTF">2025-11-13T14:35:39+01:00</dcterms:modified>
</cp:coreProperties>
</file>

<file path=docProps/custom.xml><?xml version="1.0" encoding="utf-8"?>
<Properties xmlns="http://schemas.openxmlformats.org/officeDocument/2006/custom-properties" xmlns:vt="http://schemas.openxmlformats.org/officeDocument/2006/docPropsVTypes"/>
</file>